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6AF4C8D" wp14:paraId="293B4F01" wp14:textId="10002A0E">
      <w:pPr>
        <w:spacing w:after="160" w:line="279" w:lineRule="auto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Comparing outcomes of COVID-19 and influenza among hospitalized patients in five countries and areas in the European Severe Acute Respiratory Infection Vaccine Effectiveness Network, 2021-2024</w:t>
      </w:r>
    </w:p>
    <w:p xmlns:wp14="http://schemas.microsoft.com/office/word/2010/wordml" w:rsidP="56AF4C8D" wp14:paraId="630CDB34" wp14:textId="7E4B3A04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Background</w:t>
      </w:r>
    </w:p>
    <w:p xmlns:wp14="http://schemas.microsoft.com/office/word/2010/wordml" w:rsidP="56AF4C8D" wp14:paraId="60A882C1" wp14:textId="6176CC5F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Understanding changing COVID-19 severity can guide public health interventions in the post-pandemic period. We compared in-hospital severity of COVID-19 to influenza among hospitalized severe acute respiratory infection (SARI) patients in European SARI Vaccine Effectiveness (EuroSAVE) Network, which includes five countries and areas (Albania, Georgia, Kyrgyzstan, North Macedonia, and Kosovo*).</w:t>
      </w:r>
    </w:p>
    <w:p xmlns:wp14="http://schemas.microsoft.com/office/word/2010/wordml" w:rsidP="56AF4C8D" wp14:paraId="2AA53B07" wp14:textId="221D12FD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Methods</w:t>
      </w:r>
    </w:p>
    <w:p xmlns:wp14="http://schemas.microsoft.com/office/word/2010/wordml" w:rsidP="56AF4C8D" wp14:paraId="2C6D9112" wp14:textId="11DD3675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included patients admitted to 24 hospitals from December 2021 – March 2024 who met the WHO SARI case definition. All patients had a respiratory specimen collected and tested for SARS-CoV-2 and influenza by RT-PCR. We employed a cohort study design and calculated the adjusted odds ratios (aORs) and 95% confidence intervals (CI) for severe outcome (ICU admission, mechanical ventilation, or in-hospital death) and in-hospital death by virus test result. We used logistic regression, adjusting for baseline patient characteristics. Influenza-positive patients were the reference group. We grouped SARS-CoV-2 patients by hospital admission date: Period (P)1 (6 December 2021- 18 December 2022); P2 (19 December 2022- 9 July 2023); and P3 (10 July 2023- 16 March 2024).</w:t>
      </w:r>
    </w:p>
    <w:p xmlns:wp14="http://schemas.microsoft.com/office/word/2010/wordml" w:rsidP="56AF4C8D" wp14:paraId="31C5E554" wp14:textId="15215FE6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Results</w:t>
      </w:r>
    </w:p>
    <w:p xmlns:wp14="http://schemas.microsoft.com/office/word/2010/wordml" w:rsidP="56AF4C8D" wp14:paraId="27B6B31C" wp14:textId="0ACB9446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Of the 5,800 patients included, 2,991 (52%) were male, 3,488 (60%) were ≥ 60 years old, 514 (8%) were influenza-positive, and 876 (15%) were SARS-CoV-2-positive. The aOR for severe outcomes among SARS-CoV-2-positive patients was 1.97 (95% CI 1.33-2.95) in P1, 2.63 (95% CI 1.66-4.17) in P2, and 1.88 (95% CI 1.01-3.39) in P3. The aOR for death among SARS CoV-2-positive patients was 3.45 (95% CI 1.92-6.59) in P1, 1.45 (95% CI 0.60-3.36) in P2, and 1.98 (95% CI 0.78-4.76) in P3.</w:t>
      </w:r>
    </w:p>
    <w:p xmlns:wp14="http://schemas.microsoft.com/office/word/2010/wordml" w:rsidP="56AF4C8D" wp14:paraId="7A6F8657" wp14:textId="5EFD3B08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Conclusions</w:t>
      </w:r>
    </w:p>
    <w:p xmlns:wp14="http://schemas.microsoft.com/office/word/2010/wordml" w:rsidP="56AF4C8D" wp14:paraId="7003B677" wp14:textId="5AA617DC">
      <w:pPr>
        <w:spacing w:before="240" w:beforeAutospacing="off" w:after="240" w:afterAutospacing="off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6AF4C8D" w:rsidR="2FBF44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SARS-CoV-2-positive SARI patients were more likely to have severe outcomes compared to influenza-positive SARI patients for all periods, including the post-pandemic period. The odds of death for SARS-CoV-2 patients was highest in the earliest period. These results underscore the continued need for COVID-19-related public health interventions, including up-to-date COVID-19 vaccination.</w:t>
      </w:r>
    </w:p>
    <w:p xmlns:wp14="http://schemas.microsoft.com/office/word/2010/wordml" wp14:paraId="2C078E63" wp14:textId="3B47816C"/>
    <w:p w:rsidR="2FBF4440" w:rsidRDefault="2FBF4440" w14:paraId="1D38A6B1" w14:textId="408ECC8A">
      <w:r w:rsidR="2FBF4440">
        <w:rPr/>
        <w:t>Authors</w:t>
      </w:r>
    </w:p>
    <w:p w:rsidR="41E77B3D" w:rsidRDefault="41E77B3D" w14:paraId="123C7DEE" w14:textId="31E46514">
      <w:r w:rsidR="41E77B3D">
        <w:rPr/>
        <w:t xml:space="preserve">A. Gimma¹, E. Kureta², O. Tarkhan-Mouravi³, B. Kryeziu⁴, E. Jancheska⁵, D. Otorbaeva⁶, J. Sulo⁷, K. Zhakhashvili⁸, I. Humolii⁹, K. Kirkovik Kolevska¹⁰, A. Ryspaev¹¹, S. Cohuet¹², J. Humphreys¹², A. Rose¹², J. Fielding ¹, P. Mook¹, M. Widdowson¹, O. Artemchuk¹, I. Finci¹, M. Katz ¹ </w:t>
      </w:r>
    </w:p>
    <w:p w:rsidR="41E77B3D" w:rsidP="56AF4C8D" w:rsidRDefault="41E77B3D" w14:paraId="1CB15528" w14:textId="408499CE">
      <w:pPr>
        <w:pStyle w:val="Normal"/>
      </w:pPr>
      <w:r w:rsidR="41E77B3D">
        <w:rPr/>
        <w:t xml:space="preserve">¹ WHO Regional Office for Europe, Copenhagen, Denmark </w:t>
      </w:r>
    </w:p>
    <w:p w:rsidR="41E77B3D" w:rsidP="56AF4C8D" w:rsidRDefault="41E77B3D" w14:paraId="4D58FBD8" w14:textId="4CEE88D9">
      <w:pPr>
        <w:pStyle w:val="Normal"/>
      </w:pPr>
      <w:r w:rsidR="41E77B3D">
        <w:rPr/>
        <w:t xml:space="preserve">² Institute of Public Health, Albania </w:t>
      </w:r>
    </w:p>
    <w:p w:rsidR="41E77B3D" w:rsidP="56AF4C8D" w:rsidRDefault="41E77B3D" w14:paraId="56A93295" w14:textId="720217B0">
      <w:pPr>
        <w:pStyle w:val="Normal"/>
      </w:pPr>
      <w:r w:rsidR="41E77B3D">
        <w:rPr/>
        <w:t xml:space="preserve">³ National Center for Disease Control and Public Health, Georgia </w:t>
      </w:r>
    </w:p>
    <w:p w:rsidR="41E77B3D" w:rsidP="56AF4C8D" w:rsidRDefault="41E77B3D" w14:paraId="7CD4AC6E" w14:textId="4C34DB96">
      <w:pPr>
        <w:pStyle w:val="Normal"/>
      </w:pPr>
      <w:r w:rsidR="41E77B3D">
        <w:rPr/>
        <w:t xml:space="preserve">⁴ National Institute of Public Health, Prishtina, Kosovo* </w:t>
      </w:r>
    </w:p>
    <w:p w:rsidR="41E77B3D" w:rsidP="56AF4C8D" w:rsidRDefault="41E77B3D" w14:paraId="248360D7" w14:textId="649C6426">
      <w:pPr>
        <w:pStyle w:val="Normal"/>
      </w:pPr>
      <w:r w:rsidR="41E77B3D">
        <w:rPr/>
        <w:t xml:space="preserve">⁵ Institute of Public Health of the Republic of North Macedonia </w:t>
      </w:r>
    </w:p>
    <w:p w:rsidR="41E77B3D" w:rsidP="56AF4C8D" w:rsidRDefault="41E77B3D" w14:paraId="6E90971B" w14:textId="15E14F62">
      <w:pPr>
        <w:pStyle w:val="Normal"/>
      </w:pPr>
      <w:r w:rsidR="41E77B3D">
        <w:rPr/>
        <w:t xml:space="preserve">⁶ Department for Disease Prevention and State Sanitary and Epidemiological Surveillance, Kyrgyzstan </w:t>
      </w:r>
    </w:p>
    <w:p w:rsidR="41E77B3D" w:rsidP="56AF4C8D" w:rsidRDefault="41E77B3D" w14:paraId="6F74E3FE" w14:textId="355A629E">
      <w:pPr>
        <w:pStyle w:val="Normal"/>
      </w:pPr>
      <w:r w:rsidR="41E77B3D">
        <w:rPr/>
        <w:t xml:space="preserve">⁷ Institute of Public Health, Albania </w:t>
      </w:r>
    </w:p>
    <w:p w:rsidR="41E77B3D" w:rsidP="56AF4C8D" w:rsidRDefault="41E77B3D" w14:paraId="72289513" w14:textId="2CEA95CD">
      <w:pPr>
        <w:pStyle w:val="Normal"/>
      </w:pPr>
      <w:r w:rsidR="41E77B3D">
        <w:rPr/>
        <w:t xml:space="preserve">⁸ National Center for Disease Control and Public Health, Georgia </w:t>
      </w:r>
    </w:p>
    <w:p w:rsidR="41E77B3D" w:rsidP="56AF4C8D" w:rsidRDefault="41E77B3D" w14:paraId="52317AF3" w14:textId="460658D7">
      <w:pPr>
        <w:pStyle w:val="Normal"/>
      </w:pPr>
      <w:r w:rsidR="41E77B3D">
        <w:rPr/>
        <w:t xml:space="preserve">⁹ World Health Organization Liaison Office, Kosovo* </w:t>
      </w:r>
    </w:p>
    <w:p w:rsidR="41E77B3D" w:rsidP="56AF4C8D" w:rsidRDefault="41E77B3D" w14:paraId="51EAE0AA" w14:textId="16CC5C90">
      <w:pPr>
        <w:pStyle w:val="Normal"/>
      </w:pPr>
      <w:r w:rsidR="41E77B3D">
        <w:rPr/>
        <w:t xml:space="preserve">¹⁰ Institute of Public Health of the Republic of North Macedonia </w:t>
      </w:r>
    </w:p>
    <w:p w:rsidR="41E77B3D" w:rsidP="56AF4C8D" w:rsidRDefault="41E77B3D" w14:paraId="5ED49312" w14:textId="5E3FB763">
      <w:pPr>
        <w:pStyle w:val="Normal"/>
      </w:pPr>
      <w:r w:rsidR="41E77B3D">
        <w:rPr/>
        <w:t xml:space="preserve">¹¹ Laboratory of Molecular Genetic Research, Kyrgyzstan </w:t>
      </w:r>
    </w:p>
    <w:p w:rsidR="41E77B3D" w:rsidP="56AF4C8D" w:rsidRDefault="41E77B3D" w14:paraId="6C5ECCE4" w14:textId="0BC7F291">
      <w:pPr>
        <w:pStyle w:val="Normal"/>
      </w:pPr>
      <w:r w:rsidR="41E77B3D">
        <w:rPr/>
        <w:t xml:space="preserve">¹² Epiconcept, France </w:t>
      </w:r>
    </w:p>
    <w:p w:rsidR="41E77B3D" w:rsidP="56AF4C8D" w:rsidRDefault="41E77B3D" w14:paraId="3A20C70F" w14:textId="0D8EF669">
      <w:pPr>
        <w:pStyle w:val="Normal"/>
      </w:pPr>
      <w:r w:rsidR="41E77B3D">
        <w:rPr/>
        <w:t>*For the purposes of this abstract, all references to “Kosovo” should be understood as “Kosovo (in accordance with security council resolution 1244 (1999)).”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86D08A"/>
    <w:rsid w:val="13457F7C"/>
    <w:rsid w:val="25CB261E"/>
    <w:rsid w:val="2B6E17E0"/>
    <w:rsid w:val="2FBF4440"/>
    <w:rsid w:val="41E77B3D"/>
    <w:rsid w:val="43537CD3"/>
    <w:rsid w:val="56AF4C8D"/>
    <w:rsid w:val="57E9AC71"/>
    <w:rsid w:val="5B279D80"/>
    <w:rsid w:val="6586D08A"/>
    <w:rsid w:val="736B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D08A"/>
  <w15:chartTrackingRefBased/>
  <w15:docId w15:val="{14CDF07E-DE19-4272-89AB-13CFD966B3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39205834BC4A8335FB2F257539BF" ma:contentTypeVersion="44" ma:contentTypeDescription="Create a new document." ma:contentTypeScope="" ma:versionID="efdae715b7156f9f7321195dc2f668f1">
  <xsd:schema xmlns:xsd="http://www.w3.org/2001/XMLSchema" xmlns:xs="http://www.w3.org/2001/XMLSchema" xmlns:p="http://schemas.microsoft.com/office/2006/metadata/properties" xmlns:ns2="9c26588a-05df-4d70-9dc2-63455d48eacb" xmlns:ns3="http://schemas.microsoft.com/sharepoint/v3/fields" xmlns:ns4="d51f40c3-5a3d-4183-8728-c40e1993eb5e" targetNamespace="http://schemas.microsoft.com/office/2006/metadata/properties" ma:root="true" ma:fieldsID="147d10cb749fc6f31d6351d51f8d1c58" ns2:_="" ns3:_="" ns4:_="">
    <xsd:import namespace="9c26588a-05df-4d70-9dc2-63455d48eacb"/>
    <xsd:import namespace="http://schemas.microsoft.com/sharepoint/v3/fields"/>
    <xsd:import namespace="d51f40c3-5a3d-4183-8728-c40e1993eb5e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_Status" minOccurs="0"/>
                <xsd:element ref="ns2:Author0" minOccurs="0"/>
                <xsd:element ref="ns2:g1bd6dd1ded2460099ee0e41e299dbee" minOccurs="0"/>
                <xsd:element ref="ns2:fb048236c89942e39af77bccb348b69d" minOccurs="0"/>
                <xsd:element ref="ns2:d7ac70e31aac4c2281167eaa4c7253d3" minOccurs="0"/>
                <xsd:element ref="ns2:a8194a29973f429499077dedd7c2a289" minOccurs="0"/>
                <xsd:element ref="ns2:j9062c8e88194d9aab01eceb62a26388" minOccurs="0"/>
                <xsd:element ref="ns4:TaxCatchAll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6588a-05df-4d70-9dc2-63455d48eacb" elementFormDefault="qualified">
    <xsd:import namespace="http://schemas.microsoft.com/office/2006/documentManagement/types"/>
    <xsd:import namespace="http://schemas.microsoft.com/office/infopath/2007/PartnerControls"/>
    <xsd:element name="Description0" ma:index="2" nillable="true" ma:displayName="Description" ma:description="Free text description of the document. Max. 255 characters." ma:internalName="Description0" ma:readOnly="false">
      <xsd:simpleType>
        <xsd:restriction base="dms:Note">
          <xsd:maxLength value="255"/>
        </xsd:restriction>
      </xsd:simpleType>
    </xsd:element>
    <xsd:element name="Author0" ma:index="9" nillable="true" ma:displayName="Author" ma:description="Optional - author different from the document creator." ma:list="UserInfo" ma:SharePointGroup="0" ma:internalName="Author0" ma:readOnly="false" ma:showField="PictureOnly_Size_72p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1bd6dd1ded2460099ee0e41e299dbee" ma:index="16" nillable="true" ma:taxonomy="true" ma:internalName="g1bd6dd1ded2460099ee0e41e299dbee" ma:taxonomyFieldName="Partners" ma:displayName="Partners" ma:readOnly="false" ma:fieldId="{01bd6dd1-ded2-4600-99ee-0e41e299dbee}" ma:taxonomyMulti="true" ma:sspId="aa4eac88-8ae6-4a96-90c7-97bc93c844ef" ma:termSetId="79d66b6e-f658-4c88-b623-0effb7c0a0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048236c89942e39af77bccb348b69d" ma:index="17" nillable="true" ma:taxonomy="true" ma:internalName="fb048236c89942e39af77bccb348b69d" ma:taxonomyFieldName="Focal_x0020_area" ma:displayName="Focal area" ma:readOnly="false" ma:default="" ma:fieldId="{fb048236-c899-42e3-9af7-7bccb348b69d}" ma:taxonomyMulti="true" ma:sspId="aa4eac88-8ae6-4a96-90c7-97bc93c844ef" ma:termSetId="1de2121c-77e8-4170-b403-1ce54fa2cc5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7ac70e31aac4c2281167eaa4c7253d3" ma:index="18" nillable="true" ma:taxonomy="true" ma:internalName="d7ac70e31aac4c2281167eaa4c7253d3" ma:taxonomyFieldName="Events" ma:displayName="Event" ma:readOnly="false" ma:fieldId="{d7ac70e3-1aac-4c22-8116-7eaa4c7253d3}" ma:taxonomyMulti="true" ma:sspId="aa4eac88-8ae6-4a96-90c7-97bc93c844ef" ma:termSetId="a02cf431-14b9-4a85-8f5c-b11b96947d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8194a29973f429499077dedd7c2a289" ma:index="19" nillable="true" ma:taxonomy="true" ma:internalName="a8194a29973f429499077dedd7c2a289" ma:taxonomyFieldName="Document_x0020_type" ma:displayName="Document type" ma:readOnly="false" ma:default="" ma:fieldId="{a8194a29-973f-4294-9907-7dedd7c2a289}" ma:taxonomyMulti="true" ma:sspId="aa4eac88-8ae6-4a96-90c7-97bc93c844ef" ma:termSetId="1f89a9b4-8992-49f9-b2df-aef3e9668ca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j9062c8e88194d9aab01eceb62a26388" ma:index="20" nillable="true" ma:taxonomy="true" ma:internalName="j9062c8e88194d9aab01eceb62a26388" ma:taxonomyFieldName="Location" ma:displayName="Location" ma:readOnly="false" ma:fieldId="{39062c8e-8819-4d9a-ab01-eceb62a26388}" ma:sspId="aa4eac88-8ae6-4a96-90c7-97bc93c844ef" ma:termSetId="e808f9f6-a0ae-41eb-a93a-ac53ccdb3d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Length (seconds)" ma:internalName="MediaLengthInSeconds" ma:readOnly="true">
      <xsd:simpleType>
        <xsd:restriction base="dms:Unknown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Status" ma:default="Not Started" ma:format="Dropdown" ma:internalName="_Status" ma:readOnly="false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Translated"/>
          <xsd:enumeration value="Final"/>
          <xsd:enumeration value="Expir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f40c3-5a3d-4183-8728-c40e1993eb5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8bb65b2-6911-4989-a512-22d7f2234e68}" ma:internalName="TaxCatchAll" ma:showField="CatchAllData" ma:web="d51f40c3-5a3d-4183-8728-c40e1993e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thor0 xmlns="9c26588a-05df-4d70-9dc2-63455d48eacb">
      <UserInfo>
        <DisplayName/>
        <AccountId xsi:nil="true"/>
        <AccountType/>
      </UserInfo>
    </Author0>
    <d7ac70e31aac4c2281167eaa4c7253d3 xmlns="9c26588a-05df-4d70-9dc2-63455d48eacb">
      <Terms xmlns="http://schemas.microsoft.com/office/infopath/2007/PartnerControls"/>
    </d7ac70e31aac4c2281167eaa4c7253d3>
    <g1bd6dd1ded2460099ee0e41e299dbee xmlns="9c26588a-05df-4d70-9dc2-63455d48eacb">
      <Terms xmlns="http://schemas.microsoft.com/office/infopath/2007/PartnerControls"/>
    </g1bd6dd1ded2460099ee0e41e299dbee>
    <_Status xmlns="http://schemas.microsoft.com/sharepoint/v3/fields">Not Started</_Status>
    <Description0 xmlns="9c26588a-05df-4d70-9dc2-63455d48eacb" xsi:nil="true"/>
    <TaxCatchAll xmlns="d51f40c3-5a3d-4183-8728-c40e1993eb5e" xsi:nil="true"/>
    <a8194a29973f429499077dedd7c2a289 xmlns="9c26588a-05df-4d70-9dc2-63455d48eacb">
      <Terms xmlns="http://schemas.microsoft.com/office/infopath/2007/PartnerControls"/>
    </a8194a29973f429499077dedd7c2a289>
    <j9062c8e88194d9aab01eceb62a26388 xmlns="9c26588a-05df-4d70-9dc2-63455d48eacb">
      <Terms xmlns="http://schemas.microsoft.com/office/infopath/2007/PartnerControls"/>
    </j9062c8e88194d9aab01eceb62a26388>
    <lcf76f155ced4ddcb4097134ff3c332f xmlns="9c26588a-05df-4d70-9dc2-63455d48eacb">
      <Terms xmlns="http://schemas.microsoft.com/office/infopath/2007/PartnerControls"/>
    </lcf76f155ced4ddcb4097134ff3c332f>
    <fb048236c89942e39af77bccb348b69d xmlns="9c26588a-05df-4d70-9dc2-63455d48eacb">
      <Terms xmlns="http://schemas.microsoft.com/office/infopath/2007/PartnerControls"/>
    </fb048236c89942e39af77bccb348b69d>
  </documentManagement>
</p:properties>
</file>

<file path=customXml/itemProps1.xml><?xml version="1.0" encoding="utf-8"?>
<ds:datastoreItem xmlns:ds="http://schemas.openxmlformats.org/officeDocument/2006/customXml" ds:itemID="{9A9AA122-00B6-4247-BA80-B5115211F1D6}"/>
</file>

<file path=customXml/itemProps2.xml><?xml version="1.0" encoding="utf-8"?>
<ds:datastoreItem xmlns:ds="http://schemas.openxmlformats.org/officeDocument/2006/customXml" ds:itemID="{44CEBC61-58A5-4CC5-91C6-72FD1B781CE1}"/>
</file>

<file path=customXml/itemProps3.xml><?xml version="1.0" encoding="utf-8"?>
<ds:datastoreItem xmlns:ds="http://schemas.openxmlformats.org/officeDocument/2006/customXml" ds:itemID="{F0E6224F-5DE5-4322-B556-010FAEF8172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GIMMA, Amy Marie</dc:creator>
  <cp:keywords/>
  <dc:description/>
  <cp:lastModifiedBy>GIMMA, Amy Marie</cp:lastModifiedBy>
  <dcterms:created xsi:type="dcterms:W3CDTF">2024-08-01T07:17:04Z</dcterms:created>
  <dcterms:modified xsi:type="dcterms:W3CDTF">2024-08-01T07:22:11Z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0x010100B61D39205834BC4A8335FB2F257539BF</vt:lpwstr>
  </property>
</Properties>
</file>